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:rsidTr="00E56984">
        <w:tc>
          <w:tcPr>
            <w:tcW w:w="4077" w:type="dxa"/>
          </w:tcPr>
          <w:p w:rsidR="00E56984" w:rsidRDefault="00E56984" w:rsidP="008C7855">
            <w:pPr>
              <w:jc w:val="center"/>
            </w:pPr>
          </w:p>
        </w:tc>
        <w:tc>
          <w:tcPr>
            <w:tcW w:w="5529" w:type="dxa"/>
          </w:tcPr>
          <w:p w:rsidR="00E56984" w:rsidRDefault="00E56984" w:rsidP="008C7855">
            <w:pPr>
              <w:jc w:val="center"/>
            </w:pPr>
          </w:p>
        </w:tc>
      </w:tr>
    </w:tbl>
    <w:p w:rsidR="00E56984" w:rsidRDefault="00E56984" w:rsidP="008C7855">
      <w:pPr>
        <w:keepNext/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Отчет</w:t>
      </w:r>
      <w:proofErr w:type="spellEnd"/>
      <w:r>
        <w:rPr>
          <w:b/>
          <w:szCs w:val="28"/>
        </w:rPr>
        <w:br/>
        <w:t>о проведении оценки регулирующего воздействия</w:t>
      </w:r>
    </w:p>
    <w:p w:rsidR="00E56984" w:rsidRDefault="00E56984" w:rsidP="008C7855">
      <w:pPr>
        <w:rPr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Pr="009C69DE">
        <w:rPr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827A9E" w:rsidRPr="006F6775" w:rsidRDefault="00811806" w:rsidP="0081180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>Вид, наименование проекта муниципального нормативного правового акта (далее - проект муниципального нормативного акта)</w:t>
      </w:r>
      <w:r w:rsidRPr="003B27C3">
        <w:rPr>
          <w:color w:val="000000"/>
          <w:szCs w:val="28"/>
        </w:rPr>
        <w:t xml:space="preserve"> </w:t>
      </w:r>
      <w:r w:rsidRPr="004171C2">
        <w:rPr>
          <w:color w:val="000000"/>
          <w:szCs w:val="28"/>
        </w:rPr>
        <w:t xml:space="preserve">проект </w:t>
      </w:r>
      <w:r w:rsidRPr="00CF1289">
        <w:rPr>
          <w:szCs w:val="28"/>
        </w:rPr>
        <w:t xml:space="preserve">решения Думы городского округа Кинель Самарской области «О внесении изменений в </w:t>
      </w:r>
      <w:r>
        <w:rPr>
          <w:szCs w:val="28"/>
        </w:rPr>
        <w:t>Методику</w:t>
      </w:r>
      <w:r w:rsidRPr="00CF1289">
        <w:rPr>
          <w:szCs w:val="28"/>
        </w:rPr>
        <w:t xml:space="preserve"> </w:t>
      </w:r>
      <w:proofErr w:type="spellStart"/>
      <w:r w:rsidRPr="00CF1289">
        <w:rPr>
          <w:szCs w:val="28"/>
        </w:rPr>
        <w:t>расчета</w:t>
      </w:r>
      <w:proofErr w:type="spellEnd"/>
      <w:r w:rsidRPr="00CF1289">
        <w:rPr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Кинель»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утвержденную</w:t>
      </w:r>
      <w:proofErr w:type="spellEnd"/>
      <w:r w:rsidRPr="00CF1289">
        <w:rPr>
          <w:szCs w:val="28"/>
        </w:rPr>
        <w:t xml:space="preserve"> решени</w:t>
      </w:r>
      <w:r>
        <w:rPr>
          <w:szCs w:val="28"/>
        </w:rPr>
        <w:t>ем</w:t>
      </w:r>
      <w:r w:rsidRPr="00CF1289">
        <w:rPr>
          <w:szCs w:val="28"/>
        </w:rPr>
        <w:t xml:space="preserve"> Думы городского округа Кинель  от 31 мая 2011 года  № 99</w:t>
      </w:r>
      <w:r>
        <w:rPr>
          <w:szCs w:val="28"/>
        </w:rPr>
        <w:t xml:space="preserve"> (</w:t>
      </w:r>
      <w:bookmarkStart w:id="0" w:name="_GoBack"/>
      <w:bookmarkEnd w:id="0"/>
      <w:r>
        <w:rPr>
          <w:szCs w:val="28"/>
        </w:rPr>
        <w:t xml:space="preserve">с </w:t>
      </w:r>
      <w:proofErr w:type="spellStart"/>
      <w:r>
        <w:rPr>
          <w:szCs w:val="28"/>
        </w:rPr>
        <w:t>учетом</w:t>
      </w:r>
      <w:proofErr w:type="spellEnd"/>
      <w:r>
        <w:rPr>
          <w:szCs w:val="28"/>
        </w:rPr>
        <w:t xml:space="preserve"> изменений от 31 </w:t>
      </w:r>
      <w:proofErr w:type="spellStart"/>
      <w:r>
        <w:rPr>
          <w:szCs w:val="28"/>
        </w:rPr>
        <w:t>марнта</w:t>
      </w:r>
      <w:proofErr w:type="spellEnd"/>
      <w:r>
        <w:rPr>
          <w:szCs w:val="28"/>
        </w:rPr>
        <w:t xml:space="preserve"> 2022 г.)</w:t>
      </w:r>
      <w:proofErr w:type="gramEnd"/>
    </w:p>
    <w:p w:rsidR="00E56984" w:rsidRPr="00E56984" w:rsidRDefault="00E56984" w:rsidP="003B27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1.5. Степень регулирующего воздействия   проекта  муниципального нормативного акта </w:t>
      </w:r>
      <w:r w:rsidR="002C673C">
        <w:rPr>
          <w:szCs w:val="28"/>
        </w:rPr>
        <w:t xml:space="preserve"> - </w:t>
      </w:r>
      <w:r w:rsidR="003B27C3">
        <w:rPr>
          <w:szCs w:val="28"/>
        </w:rPr>
        <w:t>средняя</w:t>
      </w:r>
      <w:r>
        <w:rPr>
          <w:szCs w:val="28"/>
        </w:rPr>
        <w:t>.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начало: «</w:t>
      </w:r>
      <w:r w:rsidR="003F3BD7">
        <w:rPr>
          <w:szCs w:val="28"/>
        </w:rPr>
        <w:t>01</w:t>
      </w:r>
      <w:r>
        <w:rPr>
          <w:szCs w:val="28"/>
        </w:rPr>
        <w:t xml:space="preserve">» </w:t>
      </w:r>
      <w:r w:rsidR="003F3BD7">
        <w:rPr>
          <w:szCs w:val="28"/>
        </w:rPr>
        <w:t xml:space="preserve">июля </w:t>
      </w:r>
      <w:r w:rsidR="002C673C">
        <w:rPr>
          <w:szCs w:val="28"/>
        </w:rPr>
        <w:t>2022</w:t>
      </w:r>
      <w:r>
        <w:rPr>
          <w:szCs w:val="28"/>
        </w:rPr>
        <w:t xml:space="preserve"> г.;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окончание: «</w:t>
      </w:r>
      <w:r w:rsidR="003F3BD7">
        <w:rPr>
          <w:szCs w:val="28"/>
        </w:rPr>
        <w:t>14</w:t>
      </w:r>
      <w:r>
        <w:rPr>
          <w:szCs w:val="28"/>
        </w:rPr>
        <w:t xml:space="preserve">» </w:t>
      </w:r>
      <w:r w:rsidR="003F3BD7">
        <w:rPr>
          <w:szCs w:val="28"/>
        </w:rPr>
        <w:t xml:space="preserve">июля 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="002C673C">
        <w:rPr>
          <w:szCs w:val="28"/>
        </w:rPr>
        <w:t>(</w:t>
      </w:r>
      <w:proofErr w:type="gramEnd"/>
      <w:r w:rsidR="002C673C">
        <w:rPr>
          <w:szCs w:val="28"/>
        </w:rPr>
        <w:t>включительно).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 xml:space="preserve">2. Описание проблемы, на решение которой направлено принятие проекта муниципального нормативного акта, и способа </w:t>
      </w:r>
      <w:proofErr w:type="spellStart"/>
      <w:r>
        <w:rPr>
          <w:b/>
          <w:szCs w:val="28"/>
        </w:rPr>
        <w:t>ее</w:t>
      </w:r>
      <w:proofErr w:type="spellEnd"/>
      <w:r>
        <w:rPr>
          <w:b/>
          <w:szCs w:val="28"/>
        </w:rPr>
        <w:t xml:space="preserve"> разрешения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2.1. Описание проблемы, на решение которой направлен предлагаемый способ правового регулирования, </w:t>
      </w:r>
    </w:p>
    <w:p w:rsidR="003F3BD7" w:rsidRDefault="003F3BD7" w:rsidP="003F3BD7">
      <w:pPr>
        <w:pStyle w:val="ConsPlusNonformat"/>
        <w:tabs>
          <w:tab w:val="left" w:pos="0"/>
          <w:tab w:val="left" w:pos="284"/>
        </w:tabs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</w:t>
      </w:r>
      <w:r>
        <w:rPr>
          <w:rFonts w:ascii="Times New Roman" w:hAnsi="Times New Roman" w:cs="Times New Roman"/>
          <w:bCs/>
          <w:iCs/>
          <w:sz w:val="28"/>
          <w:szCs w:val="28"/>
        </w:rPr>
        <w:t>социально ориентированных некоммерческих организаций и субъектов малого и среднего предпринимательства, являющихся социальными предприятиями.</w:t>
      </w:r>
    </w:p>
    <w:p w:rsidR="00E56984" w:rsidRDefault="00E56984" w:rsidP="00B6121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2.2. Характеристика   негативных   эффектов, возникающих в связи с наличием проблемы, их количественная оценка</w:t>
      </w:r>
      <w:r w:rsidR="002C673C">
        <w:rPr>
          <w:szCs w:val="28"/>
        </w:rPr>
        <w:t xml:space="preserve"> - </w:t>
      </w:r>
      <w:r>
        <w:rPr>
          <w:szCs w:val="28"/>
        </w:rPr>
        <w:t xml:space="preserve"> </w:t>
      </w:r>
      <w:r w:rsidR="002C673C">
        <w:rPr>
          <w:szCs w:val="28"/>
        </w:rPr>
        <w:t>отсутствуют.</w:t>
      </w:r>
      <w:r>
        <w:rPr>
          <w:szCs w:val="28"/>
        </w:rPr>
        <w:t xml:space="preserve">  </w:t>
      </w:r>
    </w:p>
    <w:p w:rsidR="002C673C" w:rsidRPr="002C673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</w:t>
      </w:r>
      <w:r w:rsidR="002C673C">
        <w:rPr>
          <w:szCs w:val="28"/>
        </w:rPr>
        <w:t>-</w:t>
      </w:r>
      <w:r w:rsidR="003F3BD7">
        <w:rPr>
          <w:szCs w:val="28"/>
        </w:rPr>
        <w:t xml:space="preserve"> </w:t>
      </w:r>
      <w:r w:rsidR="002C673C"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  <w:r w:rsidR="00B61212">
        <w:rPr>
          <w:szCs w:val="28"/>
        </w:rPr>
        <w:t>:</w:t>
      </w:r>
    </w:p>
    <w:p w:rsidR="003F3BD7" w:rsidRDefault="003F3BD7" w:rsidP="003F3BD7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оказание п</w:t>
      </w:r>
      <w:r>
        <w:rPr>
          <w:rFonts w:ascii="Times New Roman" w:hAnsi="Times New Roman" w:cs="Times New Roman"/>
          <w:sz w:val="28"/>
          <w:szCs w:val="28"/>
        </w:rPr>
        <w:t xml:space="preserve">оддержки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субъектам малого и среднего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предпринимательства,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социальными предприятиями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1C6C">
        <w:rPr>
          <w:rFonts w:ascii="Times New Roman" w:hAnsi="Times New Roman" w:cs="Times New Roman"/>
          <w:sz w:val="28"/>
          <w:szCs w:val="28"/>
        </w:rPr>
        <w:t xml:space="preserve"> </w:t>
      </w:r>
      <w:r w:rsidRPr="00767B5A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proofErr w:type="spellStart"/>
      <w:r w:rsidRPr="00767B5A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7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24.1.</w:t>
      </w:r>
      <w:r w:rsidRPr="00767B5A">
        <w:rPr>
          <w:rFonts w:ascii="Times New Roman" w:hAnsi="Times New Roman" w:cs="Times New Roman"/>
          <w:sz w:val="28"/>
          <w:szCs w:val="28"/>
        </w:rPr>
        <w:t xml:space="preserve"> </w:t>
      </w:r>
      <w:r w:rsidRPr="00767B5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 24 июля 2007 года № 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61212" w:rsidRDefault="003F3BD7" w:rsidP="003F3BD7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szCs w:val="28"/>
        </w:rPr>
        <w:t xml:space="preserve">- </w:t>
      </w:r>
      <w:r w:rsidR="00B61212">
        <w:rPr>
          <w:color w:val="000000"/>
          <w:szCs w:val="28"/>
        </w:rPr>
        <w:t>оказание п</w:t>
      </w:r>
      <w:r w:rsidR="00B61212">
        <w:rPr>
          <w:szCs w:val="28"/>
        </w:rPr>
        <w:t xml:space="preserve">оддержки </w:t>
      </w:r>
      <w:r>
        <w:rPr>
          <w:bCs/>
          <w:iCs/>
          <w:szCs w:val="28"/>
        </w:rPr>
        <w:t>социально ориентированным некоммерческим организациям и субъектам малого и среднего предпринимательства, являющимся социальными предприятиями</w:t>
      </w:r>
      <w:r w:rsidR="00B61212">
        <w:rPr>
          <w:bCs/>
          <w:iCs/>
          <w:szCs w:val="28"/>
        </w:rPr>
        <w:t>.</w:t>
      </w:r>
    </w:p>
    <w:p w:rsidR="003F3BD7" w:rsidRDefault="00B61212" w:rsidP="003F3BD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bCs/>
          <w:iCs/>
          <w:szCs w:val="28"/>
        </w:rPr>
        <w:t xml:space="preserve">А также установление дополнительных мер поддержки </w:t>
      </w:r>
      <w:r w:rsidR="00CE61AD">
        <w:rPr>
          <w:bCs/>
          <w:iCs/>
          <w:szCs w:val="28"/>
        </w:rPr>
        <w:t xml:space="preserve">вышеуказанным организациям </w:t>
      </w:r>
      <w:r w:rsidR="003F3BD7">
        <w:rPr>
          <w:szCs w:val="28"/>
        </w:rPr>
        <w:t>в виде снижения арендной платы за пользование имуществом, находящимся в собственности муниципального образования городской округ Кинель Самарской области (за исключением земельных участков), на 50 %  в период с 1 января 2022 года по 31 декабря 2024 года</w:t>
      </w:r>
      <w:r w:rsidR="003F3BD7" w:rsidRPr="003863B5">
        <w:rPr>
          <w:szCs w:val="28"/>
        </w:rPr>
        <w:t xml:space="preserve"> </w:t>
      </w:r>
      <w:r w:rsidR="003F3BD7">
        <w:rPr>
          <w:szCs w:val="28"/>
        </w:rPr>
        <w:t>в соответствии с Постановлением Правительства Самарской области от 16 июня 2022 года  № 440 и пунктом 12</w:t>
      </w:r>
      <w:proofErr w:type="gramEnd"/>
      <w:r w:rsidR="003F3BD7">
        <w:rPr>
          <w:szCs w:val="28"/>
        </w:rPr>
        <w:t xml:space="preserve"> Плана первоочередных действий по обеспечению развития экономики Самарской области в условиях внешнего секционного давления, утверждённого первым вице-губернатором – председателем Правительства Самарской области  В.В. Кудряшовым  от 30 марта 2022 года.</w:t>
      </w:r>
    </w:p>
    <w:p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:rsidR="003F3BD7" w:rsidRPr="00CE61AD" w:rsidRDefault="007F0F53" w:rsidP="00C137A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CE61AD">
        <w:rPr>
          <w:szCs w:val="28"/>
        </w:rPr>
        <w:t>-</w:t>
      </w:r>
      <w:r w:rsidR="00E56984" w:rsidRPr="00CE61AD">
        <w:rPr>
          <w:szCs w:val="28"/>
        </w:rPr>
        <w:t xml:space="preserve"> </w:t>
      </w:r>
      <w:r w:rsidR="003F3BD7" w:rsidRPr="00CE61AD">
        <w:rPr>
          <w:szCs w:val="28"/>
        </w:rPr>
        <w:t>Постановление Правительства Самарской области от 16 июня 2022 года</w:t>
      </w:r>
      <w:r w:rsidR="00C137A7">
        <w:rPr>
          <w:szCs w:val="28"/>
        </w:rPr>
        <w:t xml:space="preserve"> № 440 «О внесении изменения в </w:t>
      </w:r>
      <w:proofErr w:type="spellStart"/>
      <w:r w:rsidR="00C137A7">
        <w:rPr>
          <w:szCs w:val="28"/>
        </w:rPr>
        <w:t>постаногвление</w:t>
      </w:r>
      <w:proofErr w:type="spellEnd"/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Правительства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Самарской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области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от</w:t>
      </w:r>
      <w:r w:rsidR="00CE61AD" w:rsidRPr="00CE61AD">
        <w:rPr>
          <w:color w:val="333333"/>
          <w:shd w:val="clear" w:color="auto" w:fill="FFFFFF"/>
        </w:rPr>
        <w:t xml:space="preserve"> 19.12.2018 № 793 </w:t>
      </w:r>
      <w:r w:rsidR="00C137A7">
        <w:rPr>
          <w:color w:val="333333"/>
          <w:shd w:val="clear" w:color="auto" w:fill="FFFFFF"/>
        </w:rPr>
        <w:t>«</w:t>
      </w:r>
      <w:r w:rsidR="00CE61AD" w:rsidRPr="00CE61AD">
        <w:rPr>
          <w:color w:val="333333"/>
          <w:shd w:val="clear" w:color="auto" w:fill="FFFFFF"/>
        </w:rPr>
        <w:t xml:space="preserve">Об утверждении Методики </w:t>
      </w:r>
      <w:proofErr w:type="spellStart"/>
      <w:r w:rsidR="00CE61AD" w:rsidRPr="00CE61AD">
        <w:rPr>
          <w:color w:val="333333"/>
          <w:shd w:val="clear" w:color="auto" w:fill="FFFFFF"/>
        </w:rPr>
        <w:t>расчета</w:t>
      </w:r>
      <w:proofErr w:type="spellEnd"/>
      <w:r w:rsidR="00CE61AD" w:rsidRPr="00CE61AD">
        <w:rPr>
          <w:color w:val="333333"/>
          <w:shd w:val="clear" w:color="auto" w:fill="FFFFFF"/>
        </w:rPr>
        <w:t xml:space="preserve"> размера арендной платы за пользование имуществом </w:t>
      </w:r>
      <w:r w:rsidR="00CE61AD" w:rsidRPr="00CE61AD">
        <w:rPr>
          <w:bCs/>
          <w:color w:val="333333"/>
          <w:shd w:val="clear" w:color="auto" w:fill="FFFFFF"/>
        </w:rPr>
        <w:t>Самарской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области</w:t>
      </w:r>
      <w:r w:rsidR="00CE61AD" w:rsidRPr="00CE61AD">
        <w:rPr>
          <w:color w:val="333333"/>
          <w:shd w:val="clear" w:color="auto" w:fill="FFFFFF"/>
        </w:rPr>
        <w:t> и признании утратившими</w:t>
      </w:r>
      <w:r w:rsidR="00C137A7">
        <w:rPr>
          <w:color w:val="333333"/>
          <w:shd w:val="clear" w:color="auto" w:fill="FFFFFF"/>
        </w:rPr>
        <w:t xml:space="preserve"> </w:t>
      </w:r>
      <w:r w:rsidR="00CE61AD" w:rsidRPr="00CE61AD">
        <w:rPr>
          <w:color w:val="333333"/>
          <w:shd w:val="clear" w:color="auto" w:fill="FFFFFF"/>
        </w:rPr>
        <w:t>силу</w:t>
      </w:r>
      <w:r w:rsidR="00C137A7">
        <w:rPr>
          <w:color w:val="333333"/>
          <w:shd w:val="clear" w:color="auto" w:fill="FFFFFF"/>
        </w:rPr>
        <w:t xml:space="preserve"> </w:t>
      </w:r>
      <w:r w:rsidR="00CE61AD" w:rsidRPr="00CE61AD">
        <w:rPr>
          <w:color w:val="333333"/>
          <w:shd w:val="clear" w:color="auto" w:fill="FFFFFF"/>
        </w:rPr>
        <w:t>отдельных </w:t>
      </w:r>
      <w:r w:rsidR="00CE61AD" w:rsidRPr="00CE61AD">
        <w:rPr>
          <w:bCs/>
          <w:color w:val="333333"/>
          <w:shd w:val="clear" w:color="auto" w:fill="FFFFFF"/>
        </w:rPr>
        <w:t>постановлений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Правительства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Самарской</w:t>
      </w:r>
      <w:r w:rsidR="00CE61AD" w:rsidRPr="00CE61AD">
        <w:rPr>
          <w:color w:val="333333"/>
          <w:shd w:val="clear" w:color="auto" w:fill="FFFFFF"/>
        </w:rPr>
        <w:t> </w:t>
      </w:r>
      <w:r w:rsidR="00CE61AD" w:rsidRPr="00CE61AD">
        <w:rPr>
          <w:bCs/>
          <w:color w:val="333333"/>
          <w:shd w:val="clear" w:color="auto" w:fill="FFFFFF"/>
        </w:rPr>
        <w:t>облас</w:t>
      </w:r>
      <w:r w:rsidR="00C137A7">
        <w:rPr>
          <w:bCs/>
          <w:color w:val="333333"/>
          <w:shd w:val="clear" w:color="auto" w:fill="FFFFFF"/>
        </w:rPr>
        <w:t xml:space="preserve">ти», </w:t>
      </w:r>
      <w:r w:rsidR="003F3BD7" w:rsidRPr="00CE61AD">
        <w:rPr>
          <w:szCs w:val="28"/>
        </w:rPr>
        <w:t>пункт 12 Плана первоочередных действий по обеспечению развития экономики Самарской области в условиях внешнего секционного давления, утверждённого первым</w:t>
      </w:r>
      <w:proofErr w:type="gramEnd"/>
      <w:r w:rsidR="003F3BD7" w:rsidRPr="00CE61AD">
        <w:rPr>
          <w:szCs w:val="28"/>
        </w:rPr>
        <w:t xml:space="preserve"> вице-губернатором – председателем Правительства Самарской области  В.В. Кудряшовым  от 30 марта 2022 года.</w:t>
      </w:r>
    </w:p>
    <w:p w:rsidR="008C7855" w:rsidRDefault="00E56984" w:rsidP="00C137A7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:rsidR="003E6D79" w:rsidRPr="00D91073" w:rsidRDefault="003E6D79" w:rsidP="003E6D7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 о</w:t>
      </w:r>
      <w:r w:rsidRPr="00D91073">
        <w:rPr>
          <w:szCs w:val="28"/>
        </w:rPr>
        <w:t>рганы государственной власти Самарской области, органы местного самоуправления муниципальных образований Самарской области, федеральные органы государственной власти, в том числе органы судебной власти и правоохранительные органы</w:t>
      </w:r>
      <w:r>
        <w:rPr>
          <w:szCs w:val="28"/>
        </w:rPr>
        <w:t>;</w:t>
      </w:r>
    </w:p>
    <w:p w:rsidR="003E6D79" w:rsidRDefault="003E6D79" w:rsidP="003E6D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-г</w:t>
      </w:r>
      <w:r w:rsidRPr="00D91073">
        <w:rPr>
          <w:szCs w:val="28"/>
        </w:rPr>
        <w:t xml:space="preserve">осударственные и муниципальные учреждения, другие некоммерческие организации, </w:t>
      </w:r>
      <w:proofErr w:type="spellStart"/>
      <w:r w:rsidRPr="00D91073">
        <w:rPr>
          <w:szCs w:val="28"/>
        </w:rPr>
        <w:t>учрежденные</w:t>
      </w:r>
      <w:proofErr w:type="spellEnd"/>
      <w:r w:rsidRPr="00D91073">
        <w:rPr>
          <w:szCs w:val="28"/>
        </w:rPr>
        <w:t xml:space="preserve">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</w:r>
      <w:r>
        <w:rPr>
          <w:szCs w:val="28"/>
        </w:rPr>
        <w:t>;</w:t>
      </w:r>
    </w:p>
    <w:p w:rsidR="003E6D79" w:rsidRPr="00D91073" w:rsidRDefault="003E6D79" w:rsidP="003E6D79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</w:rPr>
        <w:t>- с</w:t>
      </w:r>
      <w:r w:rsidRPr="00D91073">
        <w:rPr>
          <w:szCs w:val="28"/>
        </w:rPr>
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>
        <w:rPr>
          <w:szCs w:val="28"/>
        </w:rPr>
        <w:t>;</w:t>
      </w:r>
      <w:proofErr w:type="gramEnd"/>
    </w:p>
    <w:p w:rsidR="003E6D79" w:rsidRDefault="003E6D79" w:rsidP="003E6D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– </w:t>
      </w:r>
      <w:r>
        <w:rPr>
          <w:szCs w:val="28"/>
        </w:rPr>
        <w:t>с</w:t>
      </w:r>
      <w:r w:rsidRPr="00D30FA0">
        <w:rPr>
          <w:szCs w:val="28"/>
        </w:rPr>
        <w:t>убъекты малого и среднего предпринимательства</w:t>
      </w:r>
      <w:r>
        <w:rPr>
          <w:szCs w:val="28"/>
        </w:rPr>
        <w:t xml:space="preserve">, признанные социальными </w:t>
      </w:r>
      <w:proofErr w:type="gramStart"/>
      <w:r>
        <w:rPr>
          <w:szCs w:val="28"/>
        </w:rPr>
        <w:t>предприятиями</w:t>
      </w:r>
      <w:proofErr w:type="gramEnd"/>
      <w:r>
        <w:rPr>
          <w:szCs w:val="28"/>
        </w:rPr>
        <w:t xml:space="preserve"> в порядке установленном приказом Министерства экономического развития Российской Федерации от 29 ноября 2019 года № 773 «Об утверждении Порядка признания субъекта </w:t>
      </w:r>
      <w:r w:rsidRPr="00D30FA0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социальным предприятием и Порядка формирования перечня субъектов </w:t>
      </w:r>
      <w:r w:rsidRPr="00D30FA0">
        <w:rPr>
          <w:szCs w:val="28"/>
        </w:rPr>
        <w:t>малого и среднего предпринимательства</w:t>
      </w:r>
      <w:r>
        <w:rPr>
          <w:szCs w:val="28"/>
        </w:rPr>
        <w:t>, имеющих статус социального предприятия»;</w:t>
      </w:r>
    </w:p>
    <w:p w:rsidR="003E6D79" w:rsidRDefault="003E6D79" w:rsidP="003E6D7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-</w:t>
      </w:r>
      <w:r w:rsidRPr="007E1C6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социально ориентированные некоммерческие организации при условии осуществления ими в соответствии с учредительными документами видов деятельности, предусмотренных Федеральным законом «О некоммерческих организациях»</w:t>
      </w:r>
      <w:r w:rsidRPr="002E587B">
        <w:t>.</w:t>
      </w:r>
    </w:p>
    <w:p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>
        <w:rPr>
          <w:szCs w:val="28"/>
        </w:rPr>
        <w:t>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   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>
        <w:rPr>
          <w:szCs w:val="28"/>
        </w:rPr>
        <w:t xml:space="preserve"> </w:t>
      </w:r>
      <w:r w:rsidR="00DE77B4" w:rsidRPr="00C572F6">
        <w:rPr>
          <w:szCs w:val="28"/>
        </w:rPr>
        <w:t>предусматрива</w:t>
      </w:r>
      <w:r w:rsidR="00DE77B4">
        <w:rPr>
          <w:szCs w:val="28"/>
        </w:rPr>
        <w:t>ет</w:t>
      </w:r>
      <w:r w:rsidR="00DE77B4" w:rsidRPr="00C572F6">
        <w:rPr>
          <w:szCs w:val="28"/>
        </w:rPr>
        <w:t xml:space="preserve"> ограничения для субъектов предпринимательской и </w:t>
      </w:r>
      <w:r w:rsidR="00DE77B4" w:rsidRPr="00D03C02">
        <w:rPr>
          <w:szCs w:val="28"/>
        </w:rPr>
        <w:t>иной экономической</w:t>
      </w:r>
      <w:r w:rsidR="00DE77B4" w:rsidRPr="00C572F6">
        <w:rPr>
          <w:szCs w:val="28"/>
        </w:rPr>
        <w:t xml:space="preserve"> деятельности, приводящие к увеличению ранее предусмотренных муниципальными нормативными правовыми актами городского округа Кинель Самарской области </w:t>
      </w:r>
      <w:r w:rsidR="00DE77B4">
        <w:rPr>
          <w:szCs w:val="28"/>
        </w:rPr>
        <w:t xml:space="preserve">их </w:t>
      </w:r>
      <w:r w:rsidR="00DE77B4" w:rsidRPr="00C572F6">
        <w:rPr>
          <w:szCs w:val="28"/>
        </w:rPr>
        <w:t>расходов</w:t>
      </w:r>
      <w:r w:rsidR="00DE77B4">
        <w:rPr>
          <w:szCs w:val="28"/>
        </w:rPr>
        <w:t>.</w:t>
      </w:r>
      <w:proofErr w:type="gramEnd"/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ED67BF">
        <w:rPr>
          <w:szCs w:val="28"/>
        </w:rPr>
        <w:t>5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DE77B4">
              <w:rPr>
                <w:sz w:val="24"/>
                <w:szCs w:val="24"/>
              </w:rPr>
              <w:t>г</w:t>
            </w:r>
            <w:proofErr w:type="gramEnd"/>
            <w:r w:rsidRPr="00DE77B4">
              <w:rPr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DE77B4">
              <w:rPr>
                <w:sz w:val="24"/>
                <w:szCs w:val="24"/>
              </w:rPr>
              <w:t>г</w:t>
            </w:r>
            <w:proofErr w:type="gramEnd"/>
            <w:r w:rsidRPr="00DE77B4">
              <w:rPr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 Риски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</w:t>
            </w:r>
            <w:proofErr w:type="spellStart"/>
            <w:r>
              <w:rPr>
                <w:szCs w:val="28"/>
              </w:rPr>
              <w:t>отчета</w:t>
            </w:r>
            <w:proofErr w:type="spellEnd"/>
            <w:r>
              <w:rPr>
                <w:szCs w:val="28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предложения (не обязательно в порядке </w:t>
            </w:r>
            <w:proofErr w:type="spellStart"/>
            <w:r>
              <w:rPr>
                <w:szCs w:val="28"/>
              </w:rPr>
              <w:t>очередности</w:t>
            </w:r>
            <w:proofErr w:type="spellEnd"/>
            <w:r>
              <w:rPr>
                <w:szCs w:val="28"/>
              </w:rPr>
              <w:t xml:space="preserve">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</w:t>
            </w:r>
            <w:proofErr w:type="spellStart"/>
            <w:r>
              <w:rPr>
                <w:szCs w:val="28"/>
              </w:rPr>
              <w:t>отражен</w:t>
            </w:r>
            <w:proofErr w:type="spellEnd"/>
            <w:r>
              <w:rPr>
                <w:szCs w:val="28"/>
              </w:rPr>
              <w:t xml:space="preserve"> комментарий органа, проводящего ОРВ)</w:t>
            </w:r>
          </w:p>
        </w:tc>
      </w:tr>
      <w:tr w:rsidR="00C514A9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 №2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      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№4 Территориальное объединение работодателей </w:t>
            </w:r>
          </w:p>
          <w:p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9. Иная информация, подлежащая отражению в </w:t>
      </w:r>
      <w:proofErr w:type="spellStart"/>
      <w:r>
        <w:rPr>
          <w:szCs w:val="28"/>
        </w:rPr>
        <w:t>отчете</w:t>
      </w:r>
      <w:proofErr w:type="spellEnd"/>
      <w:r>
        <w:rPr>
          <w:szCs w:val="28"/>
        </w:rPr>
        <w:t xml:space="preserve">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:rsidTr="00E56984">
        <w:tc>
          <w:tcPr>
            <w:tcW w:w="3936" w:type="dxa"/>
            <w:hideMark/>
          </w:tcPr>
          <w:p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</w:p>
        </w:tc>
        <w:tc>
          <w:tcPr>
            <w:tcW w:w="2255" w:type="dxa"/>
            <w:hideMark/>
          </w:tcPr>
          <w:p w:rsidR="008C7855" w:rsidRDefault="008C7855" w:rsidP="008C7855"/>
          <w:p w:rsidR="008C7855" w:rsidRDefault="008C7855" w:rsidP="008C7855"/>
          <w:p w:rsidR="00E56984" w:rsidRDefault="00E56984" w:rsidP="008C7855">
            <w:r>
              <w:t>_____________</w:t>
            </w:r>
          </w:p>
          <w:p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:rsidR="008C7855" w:rsidRDefault="00E56984" w:rsidP="008C7855">
            <w:r>
              <w:t xml:space="preserve">        </w:t>
            </w:r>
          </w:p>
          <w:p w:rsidR="008C7855" w:rsidRDefault="008C7855" w:rsidP="008C7855"/>
          <w:p w:rsidR="00E56984" w:rsidRDefault="008C7855" w:rsidP="008C7855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>
              <w:t>В.Н. Фокин</w:t>
            </w:r>
          </w:p>
        </w:tc>
      </w:tr>
    </w:tbl>
    <w:p w:rsidR="00E56984" w:rsidRDefault="00E56984" w:rsidP="008C7855"/>
    <w:p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56984" w:rsidRDefault="00E56984" w:rsidP="008C7855"/>
    <w:p w:rsidR="00AD4F41" w:rsidRDefault="008C7855" w:rsidP="008C7855">
      <w:r>
        <w:t>«__</w:t>
      </w:r>
      <w:r w:rsidR="003E6D79">
        <w:t>15</w:t>
      </w:r>
      <w:r>
        <w:t>__» __</w:t>
      </w:r>
      <w:r w:rsidR="00A151A3">
        <w:t>0</w:t>
      </w:r>
      <w:r w:rsidR="003E6D79">
        <w:t>7</w:t>
      </w:r>
      <w:r>
        <w:t>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136582"/>
    <w:rsid w:val="001C2D0F"/>
    <w:rsid w:val="002279B4"/>
    <w:rsid w:val="002C673C"/>
    <w:rsid w:val="002D7377"/>
    <w:rsid w:val="003B27C3"/>
    <w:rsid w:val="003D3E23"/>
    <w:rsid w:val="003E6D79"/>
    <w:rsid w:val="003F3BD7"/>
    <w:rsid w:val="004B1B10"/>
    <w:rsid w:val="007F0F53"/>
    <w:rsid w:val="00811806"/>
    <w:rsid w:val="00827A9E"/>
    <w:rsid w:val="008C7855"/>
    <w:rsid w:val="00A151A3"/>
    <w:rsid w:val="00A57B8F"/>
    <w:rsid w:val="00AD4F41"/>
    <w:rsid w:val="00B61212"/>
    <w:rsid w:val="00C137A7"/>
    <w:rsid w:val="00C514A9"/>
    <w:rsid w:val="00CE61AD"/>
    <w:rsid w:val="00DE77B4"/>
    <w:rsid w:val="00E56984"/>
    <w:rsid w:val="00EB7E64"/>
    <w:rsid w:val="00ED67BF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BFE3-39E8-4D6F-8164-79C8C458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3</cp:revision>
  <cp:lastPrinted>2022-03-24T10:27:00Z</cp:lastPrinted>
  <dcterms:created xsi:type="dcterms:W3CDTF">2022-07-07T05:58:00Z</dcterms:created>
  <dcterms:modified xsi:type="dcterms:W3CDTF">2022-07-18T06:38:00Z</dcterms:modified>
</cp:coreProperties>
</file>